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  <w:lang w:eastAsia="en-US"/>
        </w:rPr>
        <w:t>SA WG2 Meeting #1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63</w:t>
      </w:r>
      <w:r>
        <w:rPr>
          <w:rFonts w:ascii="Arial" w:hAnsi="Arial" w:eastAsia="Arial Unicode MS" w:cs="Arial"/>
          <w:b/>
          <w:bCs/>
          <w:sz w:val="24"/>
          <w:lang w:eastAsia="en-US"/>
        </w:rPr>
        <w:tab/>
      </w:r>
      <w:r>
        <w:rPr>
          <w:rFonts w:hint="eastAsia" w:ascii="Arial" w:hAnsi="Arial" w:eastAsia="Arial Unicode MS" w:cs="Arial"/>
          <w:b/>
          <w:bCs/>
          <w:sz w:val="24"/>
          <w:lang w:eastAsia="en-US"/>
        </w:rPr>
        <w:t>S2-2406345</w:t>
      </w:r>
      <w:ins w:id="0" w:author="R1" w:date="2024-06-03T09:05:11Z">
        <w:r>
          <w:rPr>
            <w:rFonts w:hint="eastAsia" w:ascii="Arial" w:hAnsi="Arial" w:eastAsia="Arial Unicode MS" w:cs="Arial"/>
            <w:b/>
            <w:bCs/>
            <w:sz w:val="24"/>
            <w:lang w:val="en-US" w:eastAsia="zh-CN"/>
          </w:rPr>
          <w:t>r01</w:t>
        </w:r>
      </w:ins>
    </w:p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eastAsia="en-US"/>
        </w:rPr>
      </w:pPr>
      <w:bookmarkStart w:id="0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hint="eastAsia" w:ascii="Arial" w:hAnsi="Arial" w:eastAsia="宋体" w:cs="Arial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  <w:lang w:eastAsia="en-US"/>
        </w:rPr>
        <w:t>0xxxx)</w:t>
      </w:r>
    </w:p>
    <w:p>
      <w:pPr>
        <w:pStyle w:val="34"/>
        <w:tabs>
          <w:tab w:val="right" w:pos="9639"/>
        </w:tabs>
        <w:rPr>
          <w:rFonts w:cs="Arial"/>
          <w:bCs/>
          <w:color w:val="000000"/>
          <w:sz w:val="22"/>
        </w:rPr>
      </w:pP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del w:id="1" w:author="R1" w:date="2024-05-31T13:12:18Z">
        <w:r>
          <w:rPr>
            <w:rFonts w:hint="default" w:ascii="Arial" w:hAnsi="Arial" w:eastAsia="宋体" w:cs="Arial"/>
            <w:b/>
            <w:lang w:val="en-US" w:eastAsia="zh-CN"/>
          </w:rPr>
          <w:delText>China Mobile</w:delText>
        </w:r>
      </w:del>
      <w:ins w:id="2" w:author="R1" w:date="2024-05-31T13:12:18Z">
        <w:r>
          <w:rPr>
            <w:rFonts w:hint="eastAsia" w:ascii="Arial" w:hAnsi="Arial" w:eastAsia="宋体" w:cs="Arial"/>
            <w:b/>
            <w:lang w:val="en-US" w:eastAsia="zh-CN"/>
          </w:rPr>
          <w:t>S</w:t>
        </w:r>
      </w:ins>
      <w:ins w:id="3" w:author="R1" w:date="2024-05-31T13:12:19Z">
        <w:r>
          <w:rPr>
            <w:rFonts w:hint="eastAsia" w:ascii="Arial" w:hAnsi="Arial" w:eastAsia="宋体" w:cs="Arial"/>
            <w:b/>
            <w:lang w:val="en-US" w:eastAsia="zh-CN"/>
          </w:rPr>
          <w:t>A2</w:t>
        </w:r>
      </w:ins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Cover sheet for presentation of TR 23.700-</w:t>
      </w:r>
      <w:r>
        <w:rPr>
          <w:rFonts w:hint="eastAsia" w:ascii="Arial" w:hAnsi="Arial" w:eastAsia="宋体" w:cs="Arial"/>
          <w:b/>
          <w:lang w:val="en-US" w:eastAsia="zh-CN"/>
        </w:rPr>
        <w:t>7</w:t>
      </w:r>
      <w:r>
        <w:rPr>
          <w:rFonts w:hint="eastAsia" w:ascii="Arial" w:hAnsi="Arial" w:eastAsia="宋体" w:cs="Arial"/>
          <w:b/>
          <w:lang w:eastAsia="zh-CN"/>
        </w:rPr>
        <w:t>7</w:t>
      </w:r>
      <w:r>
        <w:rPr>
          <w:rFonts w:ascii="Arial" w:hAnsi="Arial" w:cs="Arial"/>
          <w:b/>
        </w:rPr>
        <w:t xml:space="preserve"> to TSG-SA#</w:t>
      </w:r>
      <w:r>
        <w:rPr>
          <w:rFonts w:hint="eastAsia" w:ascii="Arial" w:hAnsi="Arial" w:eastAsia="宋体" w:cs="Arial"/>
          <w:b/>
          <w:lang w:val="en-US" w:eastAsia="zh-CN"/>
        </w:rPr>
        <w:t>104</w:t>
      </w:r>
    </w:p>
    <w:p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30.3</w:t>
      </w:r>
    </w:p>
    <w:p>
      <w:pPr>
        <w:ind w:left="2127" w:hanging="2127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eastAsia="zh-CN"/>
        </w:rPr>
        <w:t>NG_RTC</w:t>
      </w:r>
      <w:r>
        <w:rPr>
          <w:rFonts w:hint="eastAsia" w:ascii="Arial" w:hAnsi="Arial" w:eastAsia="宋体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>/Rel-1</w:t>
      </w:r>
      <w:r>
        <w:rPr>
          <w:rFonts w:hint="eastAsia" w:ascii="Arial" w:hAnsi="Arial" w:eastAsia="宋体" w:cs="Arial"/>
          <w:b/>
          <w:lang w:val="en-US" w:eastAsia="zh-CN"/>
        </w:rPr>
        <w:t>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hAnsi="Arial" w:cs="Arial"/>
          <w:i/>
        </w:rPr>
        <w:t>This contribution proposes the TR 23.700-</w:t>
      </w:r>
      <w:r>
        <w:rPr>
          <w:rFonts w:hint="eastAsia" w:ascii="Arial" w:hAnsi="Arial" w:eastAsia="宋体" w:cs="Arial"/>
          <w:i/>
          <w:lang w:val="en-US" w:eastAsia="zh-CN"/>
        </w:rPr>
        <w:t>7</w:t>
      </w:r>
      <w:r>
        <w:rPr>
          <w:rFonts w:hint="eastAsia" w:ascii="Arial" w:hAnsi="Arial" w:eastAsia="宋体" w:cs="Arial"/>
          <w:i/>
          <w:lang w:eastAsia="zh-CN"/>
        </w:rPr>
        <w:t>7</w:t>
      </w:r>
      <w:r>
        <w:rPr>
          <w:rFonts w:ascii="Arial" w:hAnsi="Arial" w:cs="Arial"/>
          <w:i/>
        </w:rPr>
        <w:t xml:space="preserve"> to be sent to TSG-SA#</w:t>
      </w:r>
      <w:r>
        <w:rPr>
          <w:rFonts w:hint="eastAsia" w:ascii="Arial" w:hAnsi="Arial" w:eastAsia="宋体" w:cs="Arial"/>
          <w:i/>
          <w:lang w:val="en-US" w:eastAsia="zh-CN"/>
        </w:rPr>
        <w:t>104</w:t>
      </w:r>
      <w:r>
        <w:rPr>
          <w:rFonts w:ascii="Arial" w:hAnsi="Arial" w:cs="Arial"/>
          <w:i/>
        </w:rPr>
        <w:t xml:space="preserve"> for </w:t>
      </w:r>
      <w:r>
        <w:rPr>
          <w:rFonts w:hint="eastAsia" w:ascii="Arial" w:hAnsi="Arial" w:eastAsia="宋体" w:cs="Arial"/>
          <w:i/>
          <w:lang w:eastAsia="zh-CN"/>
        </w:rPr>
        <w:t>approval</w:t>
      </w:r>
      <w:r>
        <w:rPr>
          <w:rFonts w:ascii="Arial" w:hAnsi="Arial" w:cs="Arial"/>
          <w:i/>
        </w:rPr>
        <w:t>.</w:t>
      </w:r>
    </w:p>
    <w:p>
      <w:pPr>
        <w:keepNext/>
        <w:keepLines/>
        <w:pBdr>
          <w:top w:val="single" w:color="auto" w:sz="12" w:space="3"/>
        </w:pBdr>
        <w:spacing w:before="240"/>
        <w:jc w:val="both"/>
        <w:outlineLvl w:val="0"/>
        <w:rPr>
          <w:rFonts w:ascii="Arial" w:hAnsi="Arial" w:eastAsia="MS Mincho"/>
          <w:sz w:val="32"/>
          <w:szCs w:val="32"/>
        </w:rPr>
      </w:pPr>
    </w:p>
    <w:p>
      <w:pPr>
        <w:pStyle w:val="34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TSG-SA Meeting </w:t>
      </w:r>
      <w:r>
        <w:rPr>
          <w:rFonts w:cs="Arial"/>
          <w:bCs/>
          <w:color w:val="2F5496"/>
          <w:sz w:val="22"/>
        </w:rPr>
        <w:t>#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104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3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hint="eastAsia" w:eastAsia="宋体" w:cs="Arial"/>
          <w:bCs/>
          <w:color w:val="2F5496"/>
          <w:sz w:val="22"/>
          <w:lang w:val="en-US" w:eastAsia="zh-CN"/>
        </w:rPr>
        <w:t>June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18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eastAsia="宋体" w:cs="Arial"/>
          <w:bCs/>
          <w:color w:val="2F5496"/>
          <w:sz w:val="22"/>
          <w:lang w:eastAsia="zh-CN"/>
        </w:rPr>
        <w:t>–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21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, Shanghai China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FF"/>
        </w:rPr>
        <w:t>TR 23.700-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0.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6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TSG SA WG2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0000FF"/>
          <w:lang w:eastAsia="zh-CN"/>
        </w:rPr>
        <w:t>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bookmarkStart w:id="1" w:name="_Hlk57117948"/>
      <w:r>
        <w:t xml:space="preserve">The Technical Report </w:t>
      </w:r>
      <w:r>
        <w:rPr>
          <w:rFonts w:hint="eastAsia" w:eastAsia="宋体"/>
          <w:lang w:eastAsia="zh-CN"/>
        </w:rPr>
        <w:t>23.700-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eastAsia="zh-CN"/>
        </w:rPr>
        <w:t>7</w:t>
      </w:r>
      <w:r>
        <w:t xml:space="preserve"> </w:t>
      </w:r>
      <w:r>
        <w:rPr>
          <w:rFonts w:hint="eastAsia" w:eastAsia="宋体"/>
          <w:lang w:val="en-US" w:eastAsia="zh-CN"/>
        </w:rPr>
        <w:t xml:space="preserve">further </w:t>
      </w:r>
      <w:r>
        <w:t xml:space="preserve">studies </w:t>
      </w:r>
      <w:r>
        <w:rPr>
          <w:rFonts w:hint="eastAsia" w:eastAsia="Times New Roman"/>
          <w:bCs/>
          <w:color w:val="000000"/>
          <w:lang w:val="en-US"/>
        </w:rPr>
        <w:t>the</w:t>
      </w:r>
      <w:r>
        <w:rPr>
          <w:rFonts w:eastAsia="Times New Roman"/>
          <w:bCs/>
          <w:color w:val="000000"/>
          <w:lang w:val="en-US" w:eastAsia="ja-JP"/>
        </w:rPr>
        <w:t xml:space="preserve"> system architecture</w:t>
      </w:r>
      <w:r>
        <w:rPr>
          <w:rFonts w:hint="eastAsia" w:eastAsia="Times New Roman"/>
          <w:bCs/>
          <w:color w:val="000000"/>
          <w:lang w:val="en-US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/>
        </w:rPr>
        <w:t xml:space="preserve"> services</w:t>
      </w:r>
      <w:r>
        <w:rPr>
          <w:rFonts w:hint="eastAsia" w:eastAsia="宋体"/>
          <w:bCs/>
          <w:color w:val="000000"/>
          <w:lang w:val="en-US" w:eastAsia="zh-CN"/>
        </w:rPr>
        <w:t xml:space="preserve"> in the following aspects</w:t>
      </w:r>
      <w:r>
        <w:rPr>
          <w:rFonts w:hint="eastAsia" w:eastAsia="Times New Roman"/>
          <w:bCs/>
          <w:color w:val="000000"/>
          <w:lang w:val="en-US"/>
        </w:rPr>
        <w:t>.</w:t>
      </w:r>
    </w:p>
    <w:bookmarkEnd w:id="1"/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>
      <w:pPr>
        <w:tabs>
          <w:tab w:val="left" w:pos="3119"/>
        </w:tabs>
        <w:rPr>
          <w:rFonts w:hint="eastAsia" w:eastAsia="宋体"/>
          <w:color w:val="000000"/>
          <w:sz w:val="22"/>
          <w:lang w:eastAsia="zh-CN"/>
        </w:rPr>
      </w:pPr>
      <w:r>
        <w:rPr>
          <w:color w:val="000000"/>
          <w:sz w:val="22"/>
        </w:rPr>
        <w:t xml:space="preserve">This is the </w:t>
      </w:r>
      <w:r>
        <w:rPr>
          <w:rFonts w:hint="eastAsia" w:eastAsia="宋体"/>
          <w:color w:val="000000"/>
          <w:sz w:val="22"/>
          <w:lang w:val="en-US" w:eastAsia="zh-CN"/>
        </w:rPr>
        <w:t>first</w:t>
      </w:r>
      <w:r>
        <w:rPr>
          <w:color w:val="000000"/>
          <w:sz w:val="22"/>
        </w:rPr>
        <w:t xml:space="preserve"> presentation to TSG SA</w:t>
      </w:r>
      <w:r>
        <w:rPr>
          <w:rFonts w:hint="eastAsia" w:eastAsia="宋体"/>
          <w:color w:val="000000"/>
          <w:sz w:val="22"/>
          <w:lang w:eastAsia="zh-CN"/>
        </w:rPr>
        <w:t xml:space="preserve"> for approval</w:t>
      </w:r>
      <w:r>
        <w:rPr>
          <w:color w:val="000000"/>
          <w:sz w:val="22"/>
        </w:rPr>
        <w:t>.</w:t>
      </w:r>
    </w:p>
    <w:p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The TR is considered </w:t>
      </w:r>
      <w:bookmarkStart w:id="2" w:name="_GoBack"/>
      <w:r>
        <w:rPr>
          <w:rFonts w:hint="eastAsia" w:eastAsia="宋体"/>
          <w:color w:val="000000"/>
          <w:sz w:val="22"/>
          <w:highlight w:val="yellow"/>
          <w:lang w:val="en-US" w:eastAsia="zh-CN"/>
        </w:rPr>
        <w:t>100</w:t>
      </w:r>
      <w:bookmarkEnd w:id="2"/>
      <w:r>
        <w:rPr>
          <w:color w:val="000000"/>
          <w:sz w:val="22"/>
          <w:highlight w:val="yellow"/>
        </w:rPr>
        <w:t>%</w:t>
      </w:r>
      <w:r>
        <w:rPr>
          <w:color w:val="000000"/>
          <w:sz w:val="22"/>
        </w:rPr>
        <w:t xml:space="preserve"> complete.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None</w:t>
      </w:r>
      <w:r>
        <w:rPr>
          <w:rFonts w:hint="eastAsia" w:eastAsia="宋体"/>
          <w:sz w:val="21"/>
          <w:szCs w:val="21"/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  <w:szCs w:val="21"/>
        </w:rPr>
      </w:pPr>
      <w:r>
        <w:rPr>
          <w:rFonts w:hint="eastAsia" w:eastAsia="宋体"/>
          <w:sz w:val="21"/>
          <w:szCs w:val="21"/>
          <w:lang w:val="en-US" w:eastAsia="zh-CN"/>
        </w:rPr>
        <w:t>None</w:t>
      </w:r>
      <w:r>
        <w:rPr>
          <w:rFonts w:hint="eastAsia" w:eastAsia="宋体"/>
          <w:sz w:val="21"/>
          <w:szCs w:val="21"/>
          <w:lang w:eastAsia="zh-CN"/>
        </w:rPr>
        <w:t>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isplayHorizontalDrawingGridEvery w:val="0"/>
  <w:displayVerticalDrawingGridEvery w:val="0"/>
  <w:doNotUseMarginsForDrawingGridOrigin w:val="1"/>
  <w:drawingGridHorizontalOrigin w:val="1701"/>
  <w:drawingGridVerticalOrigin w:val="1984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02DFD"/>
    <w:rsid w:val="000047EB"/>
    <w:rsid w:val="00014C50"/>
    <w:rsid w:val="000508C2"/>
    <w:rsid w:val="00082EFB"/>
    <w:rsid w:val="000D16B0"/>
    <w:rsid w:val="000E018F"/>
    <w:rsid w:val="000E5984"/>
    <w:rsid w:val="000F7ECB"/>
    <w:rsid w:val="00102F20"/>
    <w:rsid w:val="001143C9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25749"/>
    <w:rsid w:val="00360371"/>
    <w:rsid w:val="003608A8"/>
    <w:rsid w:val="0038773A"/>
    <w:rsid w:val="003901B3"/>
    <w:rsid w:val="003E2D8D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F66B1"/>
    <w:rsid w:val="00607670"/>
    <w:rsid w:val="00610A83"/>
    <w:rsid w:val="006277D2"/>
    <w:rsid w:val="00636083"/>
    <w:rsid w:val="00666D15"/>
    <w:rsid w:val="006909CB"/>
    <w:rsid w:val="006914C7"/>
    <w:rsid w:val="006936E6"/>
    <w:rsid w:val="0069613A"/>
    <w:rsid w:val="006E518C"/>
    <w:rsid w:val="00702A66"/>
    <w:rsid w:val="00712879"/>
    <w:rsid w:val="0074068D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A4B4B"/>
    <w:rsid w:val="008B2C23"/>
    <w:rsid w:val="008B5D4D"/>
    <w:rsid w:val="008C3509"/>
    <w:rsid w:val="008D2C22"/>
    <w:rsid w:val="008D33FC"/>
    <w:rsid w:val="008F45E3"/>
    <w:rsid w:val="009205BC"/>
    <w:rsid w:val="00927CE0"/>
    <w:rsid w:val="009309B3"/>
    <w:rsid w:val="00932677"/>
    <w:rsid w:val="00935FB0"/>
    <w:rsid w:val="00943F5B"/>
    <w:rsid w:val="00955BDF"/>
    <w:rsid w:val="0096755E"/>
    <w:rsid w:val="009764D1"/>
    <w:rsid w:val="009C5E73"/>
    <w:rsid w:val="009C7B46"/>
    <w:rsid w:val="009D3A7C"/>
    <w:rsid w:val="009F2742"/>
    <w:rsid w:val="00A12752"/>
    <w:rsid w:val="00A3005E"/>
    <w:rsid w:val="00A34938"/>
    <w:rsid w:val="00A42B62"/>
    <w:rsid w:val="00A64EF3"/>
    <w:rsid w:val="00A85CDE"/>
    <w:rsid w:val="00A86081"/>
    <w:rsid w:val="00A9549E"/>
    <w:rsid w:val="00AA046E"/>
    <w:rsid w:val="00AC2E69"/>
    <w:rsid w:val="00B07A88"/>
    <w:rsid w:val="00B11A84"/>
    <w:rsid w:val="00B1291B"/>
    <w:rsid w:val="00B50819"/>
    <w:rsid w:val="00B660C8"/>
    <w:rsid w:val="00B73469"/>
    <w:rsid w:val="00B82A9D"/>
    <w:rsid w:val="00B835E7"/>
    <w:rsid w:val="00BB7054"/>
    <w:rsid w:val="00BC1130"/>
    <w:rsid w:val="00BD526B"/>
    <w:rsid w:val="00BE2F62"/>
    <w:rsid w:val="00BF3173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83CD6"/>
    <w:rsid w:val="00E872D6"/>
    <w:rsid w:val="00E9558D"/>
    <w:rsid w:val="00E95B24"/>
    <w:rsid w:val="00E96D83"/>
    <w:rsid w:val="00EA0F0B"/>
    <w:rsid w:val="00EA2B29"/>
    <w:rsid w:val="00F10F3C"/>
    <w:rsid w:val="00F1358B"/>
    <w:rsid w:val="00F42FE4"/>
    <w:rsid w:val="00F90349"/>
    <w:rsid w:val="00FC0C27"/>
    <w:rsid w:val="00FC0FD2"/>
    <w:rsid w:val="00FD4DB4"/>
    <w:rsid w:val="00FD6AFB"/>
    <w:rsid w:val="00FF56D7"/>
    <w:rsid w:val="032E201B"/>
    <w:rsid w:val="0ABF3E2E"/>
    <w:rsid w:val="0AE72DF4"/>
    <w:rsid w:val="0D4F6A66"/>
    <w:rsid w:val="0E637B48"/>
    <w:rsid w:val="0F237AC7"/>
    <w:rsid w:val="110A6481"/>
    <w:rsid w:val="12184440"/>
    <w:rsid w:val="1A2E3780"/>
    <w:rsid w:val="1F107058"/>
    <w:rsid w:val="215C3E48"/>
    <w:rsid w:val="22093067"/>
    <w:rsid w:val="255F52DD"/>
    <w:rsid w:val="28D56F0D"/>
    <w:rsid w:val="2C88151C"/>
    <w:rsid w:val="2DF93D52"/>
    <w:rsid w:val="30F545DF"/>
    <w:rsid w:val="326E16EE"/>
    <w:rsid w:val="341D4E0B"/>
    <w:rsid w:val="3DF257B2"/>
    <w:rsid w:val="3E8F368F"/>
    <w:rsid w:val="3EDF08B2"/>
    <w:rsid w:val="408753EB"/>
    <w:rsid w:val="41251DF1"/>
    <w:rsid w:val="41775036"/>
    <w:rsid w:val="42976F25"/>
    <w:rsid w:val="46C07B24"/>
    <w:rsid w:val="47461F7B"/>
    <w:rsid w:val="4CD0233F"/>
    <w:rsid w:val="52054A9D"/>
    <w:rsid w:val="54684287"/>
    <w:rsid w:val="59335165"/>
    <w:rsid w:val="5F775C2F"/>
    <w:rsid w:val="63AE352A"/>
    <w:rsid w:val="657171FE"/>
    <w:rsid w:val="689E1934"/>
    <w:rsid w:val="6E337CDC"/>
    <w:rsid w:val="732267F0"/>
    <w:rsid w:val="732B4F01"/>
    <w:rsid w:val="74FD067F"/>
    <w:rsid w:val="7D0F41B1"/>
    <w:rsid w:val="7EB470EC"/>
    <w:rsid w:val="7EF437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1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2"/>
    <w:uiPriority w:val="0"/>
    <w:pPr>
      <w:spacing w:after="0"/>
    </w:pPr>
    <w:rPr>
      <w:rFonts w:ascii="Segoe UI" w:hAnsi="Segoe UI"/>
      <w:sz w:val="18"/>
      <w:szCs w:val="18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0"/>
    <w:qFormat/>
    <w:uiPriority w:val="0"/>
    <w:pPr>
      <w:widowControl w:val="0"/>
    </w:pPr>
    <w:rPr>
      <w:rFonts w:ascii="Arial" w:hAnsi="Arial" w:eastAsia="Malgun Gothic" w:cs="Times New Roman"/>
      <w:b/>
      <w:sz w:val="18"/>
      <w:lang w:eastAsia="ko-KR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link w:val="8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 w:eastAsia="ko-KR"/>
    </w:rPr>
  </w:style>
  <w:style w:type="character" w:styleId="44">
    <w:name w:val="Hyperlink"/>
    <w:uiPriority w:val="0"/>
    <w:rPr>
      <w:color w:val="0563C1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4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59">
    <w:name w:val="NW"/>
    <w:basedOn w:val="55"/>
    <w:uiPriority w:val="0"/>
    <w:pPr>
      <w:spacing w:after="0"/>
    </w:pPr>
  </w:style>
  <w:style w:type="paragraph" w:customStyle="1" w:styleId="60">
    <w:name w:val="EW"/>
    <w:basedOn w:val="56"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4">
    <w:name w:val="TAR"/>
    <w:basedOn w:val="52"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3">
    <w:name w:val="Editor's Note"/>
    <w:basedOn w:val="55"/>
    <w:link w:val="88"/>
    <w:qFormat/>
    <w:uiPriority w:val="0"/>
    <w:rPr>
      <w:color w:val="FF0000"/>
    </w:rPr>
  </w:style>
  <w:style w:type="paragraph" w:customStyle="1" w:styleId="74">
    <w:name w:val="B1"/>
    <w:basedOn w:val="23"/>
    <w:link w:val="83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character" w:customStyle="1" w:styleId="80">
    <w:name w:val="页眉 Char"/>
    <w:link w:val="34"/>
    <w:uiPriority w:val="0"/>
    <w:rPr>
      <w:rFonts w:ascii="Arial" w:hAnsi="Arial"/>
      <w:b/>
      <w:sz w:val="18"/>
      <w:lang w:eastAsia="ko-KR" w:bidi="ar-SA"/>
    </w:rPr>
  </w:style>
  <w:style w:type="character" w:customStyle="1" w:styleId="81">
    <w:name w:val="批注文字 Char"/>
    <w:link w:val="29"/>
    <w:qFormat/>
    <w:uiPriority w:val="0"/>
    <w:rPr>
      <w:rFonts w:ascii="Arial" w:hAnsi="Arial"/>
      <w:lang w:eastAsia="en-US"/>
    </w:rPr>
  </w:style>
  <w:style w:type="character" w:customStyle="1" w:styleId="82">
    <w:name w:val="批注框文本 Char"/>
    <w:link w:val="32"/>
    <w:qFormat/>
    <w:uiPriority w:val="0"/>
    <w:rPr>
      <w:rFonts w:ascii="Segoe UI" w:hAnsi="Segoe UI" w:cs="Segoe UI"/>
      <w:sz w:val="18"/>
      <w:szCs w:val="18"/>
      <w:lang w:eastAsia="ko-KR"/>
    </w:rPr>
  </w:style>
  <w:style w:type="character" w:customStyle="1" w:styleId="83">
    <w:name w:val="B1 Char"/>
    <w:link w:val="74"/>
    <w:qFormat/>
    <w:uiPriority w:val="0"/>
    <w:rPr>
      <w:lang w:eastAsia="ko-KR"/>
    </w:rPr>
  </w:style>
  <w:style w:type="paragraph" w:customStyle="1" w:styleId="84">
    <w:name w:val="CR Cover Page"/>
    <w:link w:val="85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85">
    <w:name w:val="CR Cover Page Zchn"/>
    <w:link w:val="84"/>
    <w:uiPriority w:val="0"/>
    <w:rPr>
      <w:rFonts w:ascii="Arial" w:hAnsi="Arial" w:eastAsia="宋体"/>
      <w:lang w:val="en-GB" w:eastAsia="en-US" w:bidi="ar-SA"/>
    </w:rPr>
  </w:style>
  <w:style w:type="character" w:customStyle="1" w:styleId="86">
    <w:name w:val="Unresolved Mention1"/>
    <w:semiHidden/>
    <w:unhideWhenUsed/>
    <w:uiPriority w:val="99"/>
    <w:rPr>
      <w:color w:val="808080"/>
      <w:shd w:val="clear" w:color="auto" w:fill="E6E6E6"/>
    </w:rPr>
  </w:style>
  <w:style w:type="character" w:customStyle="1" w:styleId="87">
    <w:name w:val="批注主题 Char"/>
    <w:link w:val="41"/>
    <w:qFormat/>
    <w:uiPriority w:val="0"/>
    <w:rPr>
      <w:rFonts w:ascii="Arial" w:hAnsi="Arial"/>
      <w:b/>
      <w:bCs/>
      <w:lang w:val="en-GB" w:eastAsia="ko-KR"/>
    </w:rPr>
  </w:style>
  <w:style w:type="character" w:customStyle="1" w:styleId="88">
    <w:name w:val="Editor's Note Char Char"/>
    <w:link w:val="73"/>
    <w:qFormat/>
    <w:uiPriority w:val="0"/>
    <w:rPr>
      <w:color w:val="FF0000"/>
      <w:lang w:val="en-GB" w:eastAsia="ko-KR"/>
    </w:rPr>
  </w:style>
  <w:style w:type="character" w:customStyle="1" w:styleId="89">
    <w:name w:val="Editor's Note Char"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0">
    <w:name w:val="文档结构图 Char"/>
    <w:basedOn w:val="43"/>
    <w:link w:val="28"/>
    <w:uiPriority w:val="0"/>
    <w:rPr>
      <w:rFonts w:ascii="宋体" w:eastAsia="宋体"/>
      <w:sz w:val="18"/>
      <w:szCs w:val="18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199</Words>
  <Characters>1135</Characters>
  <Lines>9</Lines>
  <Paragraphs>2</Paragraphs>
  <TotalTime>238</TotalTime>
  <ScaleCrop>false</ScaleCrop>
  <LinksUpToDate>false</LinksUpToDate>
  <CharactersWithSpaces>1332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2022-08-10T07:46:00Z</dcterms:created>
  <dc:creator>Maurice Pope</dc:creator>
  <dc:description>Template for presentation of Specifications to TSGs and WGs</dc:description>
  <cp:lastModifiedBy>R1</cp:lastModifiedBy>
  <dcterms:modified xsi:type="dcterms:W3CDTF">2024-06-03T01:06:45Z</dcterms:modified>
  <dc:title>Presentation to TSG / WG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
ldPDr1O4UygGFAA9yRWc3eUqeKcM68VFSSGlh4fzTjTCdvz6s6pDvkJw8xhH0N8MrpaO53UM
flD1yNFLKou1kQedCMOQAYEg6PwNNhVeHDaqDC7tfZfZJ2MxOvA+R3FnJ4LE5fjiYwZs4xwF
eYeOITb0G4J9d9yDC9</vt:lpwstr>
  </property>
  <property fmtid="{D5CDD505-2E9C-101B-9397-08002B2CF9AE}" pid="11" name="_2015_ms_pID_7253431">
    <vt:lpwstr>nsz7OdS4Im/TnV7GkysbHENm6s6I674WAeXXkU+USsiYL53xPy6NRk
CcA0Zvi/xuNmjRiJvN3PxkrKokYw5JWzc70OQ+Oa+eccj4ae0Qs8pDK+TANBx/1kzPtF+940
iHteVq5cXCDq88qlrE1TZu5/tr8SgdPABgekJ6DOXEEriSu1HC8EuTbVb4obrJOLNsUjH0A4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HideFromDelve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1613521363</vt:lpwstr>
  </property>
  <property fmtid="{D5CDD505-2E9C-101B-9397-08002B2CF9AE}" pid="19" name="KSOProductBuildVer">
    <vt:lpwstr>2052-11.8.2.12085</vt:lpwstr>
  </property>
  <property fmtid="{D5CDD505-2E9C-101B-9397-08002B2CF9AE}" pid="20" name="ICV">
    <vt:lpwstr>861EE69F208544AEAB6D94DA34A76451</vt:lpwstr>
  </property>
</Properties>
</file>